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0F" w:rsidRPr="005D7103" w:rsidRDefault="00A61D42" w:rsidP="005D7103">
      <w:pPr>
        <w:jc w:val="center"/>
        <w:rPr>
          <w:rFonts w:asciiTheme="majorBidi" w:hAnsiTheme="majorBidi" w:cstheme="majorBidi"/>
          <w:b/>
          <w:bCs/>
          <w:sz w:val="28"/>
          <w:szCs w:val="28"/>
        </w:rPr>
      </w:pPr>
      <w:r w:rsidRPr="00BE310F">
        <w:rPr>
          <w:rFonts w:asciiTheme="majorBidi" w:hAnsiTheme="majorBidi" w:cstheme="majorBidi"/>
          <w:b/>
          <w:bCs/>
          <w:sz w:val="28"/>
          <w:szCs w:val="28"/>
        </w:rPr>
        <w:t>Second Working Holiday Visa</w:t>
      </w:r>
    </w:p>
    <w:p w:rsidR="00123EAB" w:rsidRPr="005D7103" w:rsidRDefault="00A61D42" w:rsidP="005D7103">
      <w:pPr>
        <w:rPr>
          <w:rFonts w:asciiTheme="majorBidi" w:hAnsiTheme="majorBidi" w:cstheme="majorBidi"/>
          <w:sz w:val="24"/>
          <w:szCs w:val="24"/>
        </w:rPr>
      </w:pPr>
      <w:r w:rsidRPr="00F21249">
        <w:rPr>
          <w:rFonts w:asciiTheme="majorBidi" w:hAnsiTheme="majorBidi" w:cstheme="majorBidi"/>
          <w:sz w:val="24"/>
          <w:szCs w:val="24"/>
        </w:rPr>
        <w:t xml:space="preserve">This visa allows people already on a working holiday visa to stay an extra year in Australia. </w:t>
      </w:r>
    </w:p>
    <w:p w:rsidR="00A61D42" w:rsidRPr="00F21249" w:rsidRDefault="00A61D42" w:rsidP="00A61D42">
      <w:pPr>
        <w:rPr>
          <w:rFonts w:asciiTheme="majorBidi" w:hAnsiTheme="majorBidi" w:cstheme="majorBidi"/>
          <w:b/>
          <w:bCs/>
          <w:sz w:val="24"/>
          <w:szCs w:val="24"/>
        </w:rPr>
      </w:pPr>
      <w:r w:rsidRPr="00F21249">
        <w:rPr>
          <w:rFonts w:asciiTheme="majorBidi" w:hAnsiTheme="majorBidi" w:cstheme="majorBidi"/>
          <w:b/>
          <w:bCs/>
          <w:sz w:val="24"/>
          <w:szCs w:val="24"/>
        </w:rPr>
        <w:t>Criteria</w:t>
      </w:r>
    </w:p>
    <w:p w:rsidR="00237D0F" w:rsidRDefault="00237D0F" w:rsidP="00237D0F">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24"/>
          <w:szCs w:val="24"/>
        </w:rPr>
        <w:t xml:space="preserve"> </w:t>
      </w:r>
      <w:r w:rsidR="00682E45" w:rsidRPr="00237D0F">
        <w:rPr>
          <w:rFonts w:asciiTheme="majorBidi" w:hAnsiTheme="majorBidi" w:cstheme="majorBidi"/>
          <w:sz w:val="24"/>
          <w:szCs w:val="24"/>
        </w:rPr>
        <w:t>c</w:t>
      </w:r>
      <w:r w:rsidR="00A61D42" w:rsidRPr="00237D0F">
        <w:rPr>
          <w:rFonts w:asciiTheme="majorBidi" w:hAnsiTheme="majorBidi" w:cstheme="majorBidi"/>
          <w:sz w:val="24"/>
          <w:szCs w:val="24"/>
        </w:rPr>
        <w:t>omplied with all the conditions on your first Working Holiday visa</w:t>
      </w:r>
      <w:r w:rsidR="0054530B">
        <w:rPr>
          <w:rFonts w:asciiTheme="majorBidi" w:hAnsiTheme="majorBidi" w:cstheme="majorBidi"/>
          <w:sz w:val="24"/>
          <w:szCs w:val="24"/>
        </w:rPr>
        <w:t>;</w:t>
      </w:r>
    </w:p>
    <w:p w:rsidR="00237D0F" w:rsidRDefault="00237D0F" w:rsidP="00237D0F">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sidR="00A61D42" w:rsidRPr="00237D0F">
        <w:rPr>
          <w:rFonts w:asciiTheme="majorBidi" w:hAnsiTheme="majorBidi" w:cstheme="majorBidi"/>
          <w:sz w:val="24"/>
          <w:szCs w:val="24"/>
        </w:rPr>
        <w:t>have not previously held more than one Working Holiday visa</w:t>
      </w:r>
      <w:r w:rsidR="0054530B">
        <w:rPr>
          <w:rFonts w:asciiTheme="majorBidi" w:hAnsiTheme="majorBidi" w:cstheme="majorBidi"/>
          <w:sz w:val="24"/>
          <w:szCs w:val="24"/>
        </w:rPr>
        <w:t>;</w:t>
      </w:r>
    </w:p>
    <w:p w:rsidR="00BE310F" w:rsidRDefault="00237D0F" w:rsidP="00237D0F">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sidR="00A61D42" w:rsidRPr="00237D0F">
        <w:rPr>
          <w:rFonts w:asciiTheme="majorBidi" w:hAnsiTheme="majorBidi" w:cstheme="majorBidi"/>
          <w:sz w:val="24"/>
          <w:szCs w:val="24"/>
        </w:rPr>
        <w:t>have completed three months</w:t>
      </w:r>
      <w:r w:rsidR="005D7103">
        <w:rPr>
          <w:rFonts w:asciiTheme="majorBidi" w:hAnsiTheme="majorBidi" w:cstheme="majorBidi"/>
          <w:sz w:val="24"/>
          <w:szCs w:val="24"/>
        </w:rPr>
        <w:t xml:space="preserve"> (88 days)</w:t>
      </w:r>
      <w:r w:rsidR="00A61D42" w:rsidRPr="00237D0F">
        <w:rPr>
          <w:rFonts w:asciiTheme="majorBidi" w:hAnsiTheme="majorBidi" w:cstheme="majorBidi"/>
          <w:sz w:val="24"/>
          <w:szCs w:val="24"/>
        </w:rPr>
        <w:t xml:space="preserve"> of </w:t>
      </w:r>
      <w:r w:rsidR="00A61D42" w:rsidRPr="00105872">
        <w:rPr>
          <w:rFonts w:asciiTheme="majorBidi" w:hAnsiTheme="majorBidi" w:cstheme="majorBidi"/>
          <w:sz w:val="24"/>
          <w:szCs w:val="24"/>
          <w:u w:val="single"/>
        </w:rPr>
        <w:t>specified work</w:t>
      </w:r>
      <w:r w:rsidR="00A61D42" w:rsidRPr="00237D0F">
        <w:rPr>
          <w:rFonts w:asciiTheme="majorBidi" w:hAnsiTheme="majorBidi" w:cstheme="majorBidi"/>
          <w:sz w:val="24"/>
          <w:szCs w:val="24"/>
        </w:rPr>
        <w:t xml:space="preserve"> in </w:t>
      </w:r>
      <w:r w:rsidR="00A61D42" w:rsidRPr="00BE310F">
        <w:rPr>
          <w:rFonts w:asciiTheme="majorBidi" w:hAnsiTheme="majorBidi" w:cstheme="majorBidi"/>
          <w:sz w:val="24"/>
          <w:szCs w:val="24"/>
          <w:u w:val="single"/>
        </w:rPr>
        <w:t>regiona</w:t>
      </w:r>
      <w:r w:rsidRPr="00BE310F">
        <w:rPr>
          <w:rFonts w:asciiTheme="majorBidi" w:hAnsiTheme="majorBidi" w:cstheme="majorBidi"/>
          <w:sz w:val="24"/>
          <w:szCs w:val="24"/>
          <w:u w:val="single"/>
        </w:rPr>
        <w:t>l</w:t>
      </w:r>
      <w:r>
        <w:rPr>
          <w:rFonts w:asciiTheme="majorBidi" w:hAnsiTheme="majorBidi" w:cstheme="majorBidi"/>
          <w:sz w:val="24"/>
          <w:szCs w:val="24"/>
        </w:rPr>
        <w:t xml:space="preserve"> Australia while on your first </w:t>
      </w:r>
      <w:r w:rsidR="0054530B">
        <w:rPr>
          <w:rFonts w:asciiTheme="majorBidi" w:hAnsiTheme="majorBidi" w:cstheme="majorBidi"/>
          <w:sz w:val="24"/>
          <w:szCs w:val="24"/>
        </w:rPr>
        <w:t>Working Holiday visa;</w:t>
      </w:r>
    </w:p>
    <w:p w:rsidR="00A61D42" w:rsidRDefault="00BE310F" w:rsidP="00237D0F">
      <w:pPr>
        <w:rPr>
          <w:rFonts w:asciiTheme="majorBidi" w:hAnsiTheme="majorBidi" w:cstheme="majorBidi"/>
          <w:sz w:val="24"/>
          <w:szCs w:val="24"/>
        </w:rPr>
      </w:pPr>
      <w:r>
        <w:rPr>
          <w:rFonts w:asciiTheme="majorBidi" w:hAnsiTheme="majorBidi" w:cstheme="majorBidi"/>
          <w:sz w:val="24"/>
          <w:szCs w:val="24"/>
        </w:rPr>
        <w:t>Specified work:</w:t>
      </w:r>
    </w:p>
    <w:p w:rsidR="00BE310F" w:rsidRDefault="00BE310F" w:rsidP="00BE31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plant and animal cultivation;</w:t>
      </w:r>
    </w:p>
    <w:p w:rsidR="00BE310F" w:rsidRDefault="00BE310F" w:rsidP="00BE31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fishing and pearling</w:t>
      </w:r>
    </w:p>
    <w:p w:rsidR="00BE310F" w:rsidRDefault="00BE310F" w:rsidP="00BE31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tree farming and felling</w:t>
      </w:r>
    </w:p>
    <w:p w:rsidR="00BE310F" w:rsidRDefault="00BE310F" w:rsidP="00BE310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mining</w:t>
      </w:r>
    </w:p>
    <w:p w:rsidR="002E01B4" w:rsidRPr="005D7103" w:rsidRDefault="00BE310F" w:rsidP="005D710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construction</w:t>
      </w:r>
    </w:p>
    <w:p w:rsidR="002E01B4" w:rsidRDefault="002E01B4" w:rsidP="002E01B4">
      <w:pPr>
        <w:rPr>
          <w:rFonts w:asciiTheme="majorBidi" w:hAnsiTheme="majorBidi" w:cstheme="majorBidi"/>
          <w:sz w:val="24"/>
          <w:szCs w:val="24"/>
        </w:rPr>
      </w:pPr>
      <w:r>
        <w:rPr>
          <w:rFonts w:asciiTheme="majorBidi" w:hAnsiTheme="majorBidi" w:cstheme="majorBidi"/>
          <w:sz w:val="24"/>
          <w:szCs w:val="24"/>
        </w:rPr>
        <w:t>Regional Australia</w:t>
      </w:r>
      <w:r w:rsidR="0089403F">
        <w:rPr>
          <w:rFonts w:asciiTheme="majorBidi" w:hAnsiTheme="majorBidi" w:cstheme="majorBidi"/>
          <w:sz w:val="24"/>
          <w:szCs w:val="24"/>
        </w:rPr>
        <w:t>:</w:t>
      </w:r>
    </w:p>
    <w:tbl>
      <w:tblPr>
        <w:tblStyle w:val="TableGrid"/>
        <w:tblW w:w="10795" w:type="dxa"/>
        <w:tblInd w:w="-725" w:type="dxa"/>
        <w:tblLayout w:type="fixed"/>
        <w:tblLook w:val="04A0" w:firstRow="1" w:lastRow="0" w:firstColumn="1" w:lastColumn="0" w:noHBand="0" w:noVBand="1"/>
      </w:tblPr>
      <w:tblGrid>
        <w:gridCol w:w="1255"/>
        <w:gridCol w:w="1440"/>
        <w:gridCol w:w="1265"/>
        <w:gridCol w:w="1435"/>
        <w:gridCol w:w="1440"/>
        <w:gridCol w:w="1350"/>
        <w:gridCol w:w="1350"/>
        <w:gridCol w:w="1260"/>
      </w:tblGrid>
      <w:tr w:rsidR="0089403F" w:rsidTr="0089403F">
        <w:tc>
          <w:tcPr>
            <w:tcW w:w="1255"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ACT</w:t>
            </w:r>
          </w:p>
          <w:p w:rsidR="002E01B4" w:rsidRPr="0089403F" w:rsidRDefault="002E01B4" w:rsidP="002E01B4">
            <w:pPr>
              <w:rPr>
                <w:rFonts w:asciiTheme="majorBidi" w:hAnsiTheme="majorBidi" w:cstheme="majorBidi"/>
                <w:b/>
                <w:bCs/>
              </w:rPr>
            </w:pPr>
          </w:p>
        </w:tc>
        <w:tc>
          <w:tcPr>
            <w:tcW w:w="1440"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New South Wales</w:t>
            </w:r>
          </w:p>
        </w:tc>
        <w:tc>
          <w:tcPr>
            <w:tcW w:w="1265"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Northern Territory</w:t>
            </w:r>
          </w:p>
        </w:tc>
        <w:tc>
          <w:tcPr>
            <w:tcW w:w="1435"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Queensland</w:t>
            </w:r>
          </w:p>
        </w:tc>
        <w:tc>
          <w:tcPr>
            <w:tcW w:w="1440"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Victoria</w:t>
            </w:r>
          </w:p>
        </w:tc>
        <w:tc>
          <w:tcPr>
            <w:tcW w:w="1350"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Tasmania</w:t>
            </w:r>
          </w:p>
        </w:tc>
        <w:tc>
          <w:tcPr>
            <w:tcW w:w="1350"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South Australia</w:t>
            </w:r>
          </w:p>
        </w:tc>
        <w:tc>
          <w:tcPr>
            <w:tcW w:w="1260" w:type="dxa"/>
          </w:tcPr>
          <w:p w:rsidR="002E01B4" w:rsidRPr="0089403F" w:rsidRDefault="002E01B4" w:rsidP="002E01B4">
            <w:pPr>
              <w:rPr>
                <w:rFonts w:asciiTheme="majorBidi" w:hAnsiTheme="majorBidi" w:cstheme="majorBidi"/>
                <w:b/>
                <w:bCs/>
              </w:rPr>
            </w:pPr>
            <w:r w:rsidRPr="0089403F">
              <w:rPr>
                <w:rFonts w:asciiTheme="majorBidi" w:hAnsiTheme="majorBidi" w:cstheme="majorBidi"/>
                <w:b/>
                <w:bCs/>
              </w:rPr>
              <w:t>Western Australia</w:t>
            </w:r>
          </w:p>
        </w:tc>
      </w:tr>
      <w:tr w:rsidR="0089403F" w:rsidTr="0089403F">
        <w:tc>
          <w:tcPr>
            <w:tcW w:w="1255" w:type="dxa"/>
          </w:tcPr>
          <w:p w:rsidR="002E01B4" w:rsidRPr="005D7103" w:rsidRDefault="002E01B4" w:rsidP="0089403F">
            <w:pPr>
              <w:rPr>
                <w:rFonts w:asciiTheme="majorBidi" w:hAnsiTheme="majorBidi" w:cstheme="majorBidi"/>
              </w:rPr>
            </w:pPr>
            <w:r w:rsidRPr="005D7103">
              <w:rPr>
                <w:rFonts w:asciiTheme="majorBidi" w:hAnsiTheme="majorBidi" w:cstheme="majorBidi"/>
              </w:rPr>
              <w:t>No area in ACT is classified as Regional Australia</w:t>
            </w:r>
          </w:p>
          <w:p w:rsidR="002E01B4" w:rsidRPr="005D7103" w:rsidRDefault="002E01B4" w:rsidP="002E01B4">
            <w:pPr>
              <w:rPr>
                <w:rFonts w:asciiTheme="majorBidi" w:hAnsiTheme="majorBidi" w:cstheme="majorBidi"/>
              </w:rPr>
            </w:pPr>
          </w:p>
          <w:p w:rsidR="002E01B4" w:rsidRPr="005D7103" w:rsidRDefault="002E01B4" w:rsidP="002E01B4">
            <w:pPr>
              <w:rPr>
                <w:rFonts w:asciiTheme="majorBidi" w:hAnsiTheme="majorBidi" w:cstheme="majorBidi"/>
              </w:rPr>
            </w:pPr>
          </w:p>
        </w:tc>
        <w:tc>
          <w:tcPr>
            <w:tcW w:w="1440" w:type="dxa"/>
          </w:tcPr>
          <w:p w:rsidR="002E01B4" w:rsidRPr="005D7103" w:rsidRDefault="002E01B4" w:rsidP="0089403F">
            <w:pPr>
              <w:rPr>
                <w:rFonts w:asciiTheme="majorBidi" w:hAnsiTheme="majorBidi" w:cstheme="majorBidi"/>
              </w:rPr>
            </w:pPr>
            <w:r w:rsidRPr="005D7103">
              <w:rPr>
                <w:rFonts w:asciiTheme="majorBidi" w:hAnsiTheme="majorBidi" w:cstheme="majorBidi"/>
              </w:rPr>
              <w:t>2311 to 2312</w:t>
            </w:r>
          </w:p>
          <w:p w:rsidR="002E01B4" w:rsidRPr="005D7103" w:rsidRDefault="002E01B4" w:rsidP="0089403F">
            <w:pPr>
              <w:rPr>
                <w:rFonts w:asciiTheme="majorBidi" w:hAnsiTheme="majorBidi" w:cstheme="majorBidi"/>
              </w:rPr>
            </w:pPr>
            <w:r w:rsidRPr="005D7103">
              <w:rPr>
                <w:rFonts w:asciiTheme="majorBidi" w:hAnsiTheme="majorBidi" w:cstheme="majorBidi"/>
              </w:rPr>
              <w:t>2328 to 2411</w:t>
            </w:r>
          </w:p>
          <w:p w:rsidR="002E01B4" w:rsidRPr="005D7103" w:rsidRDefault="002E01B4" w:rsidP="0089403F">
            <w:pPr>
              <w:rPr>
                <w:rFonts w:asciiTheme="majorBidi" w:hAnsiTheme="majorBidi" w:cstheme="majorBidi"/>
              </w:rPr>
            </w:pPr>
            <w:r w:rsidRPr="005D7103">
              <w:rPr>
                <w:rFonts w:asciiTheme="majorBidi" w:hAnsiTheme="majorBidi" w:cstheme="majorBidi"/>
              </w:rPr>
              <w:t>2420 to 2490</w:t>
            </w:r>
          </w:p>
          <w:p w:rsidR="002E01B4" w:rsidRPr="005D7103" w:rsidRDefault="002E01B4" w:rsidP="0089403F">
            <w:pPr>
              <w:rPr>
                <w:rFonts w:asciiTheme="majorBidi" w:hAnsiTheme="majorBidi" w:cstheme="majorBidi"/>
              </w:rPr>
            </w:pPr>
            <w:r w:rsidRPr="005D7103">
              <w:rPr>
                <w:rFonts w:asciiTheme="majorBidi" w:hAnsiTheme="majorBidi" w:cstheme="majorBidi"/>
              </w:rPr>
              <w:t>2536 to 2551</w:t>
            </w:r>
          </w:p>
          <w:p w:rsidR="002E01B4" w:rsidRPr="005D7103" w:rsidRDefault="002E01B4" w:rsidP="0089403F">
            <w:pPr>
              <w:rPr>
                <w:rFonts w:asciiTheme="majorBidi" w:hAnsiTheme="majorBidi" w:cstheme="majorBidi"/>
              </w:rPr>
            </w:pPr>
            <w:r w:rsidRPr="005D7103">
              <w:rPr>
                <w:rFonts w:asciiTheme="majorBidi" w:hAnsiTheme="majorBidi" w:cstheme="majorBidi"/>
              </w:rPr>
              <w:t>2575 to 2594</w:t>
            </w:r>
          </w:p>
          <w:p w:rsidR="002E01B4" w:rsidRPr="005D7103" w:rsidRDefault="002E01B4" w:rsidP="0089403F">
            <w:pPr>
              <w:rPr>
                <w:rFonts w:asciiTheme="majorBidi" w:hAnsiTheme="majorBidi" w:cstheme="majorBidi"/>
              </w:rPr>
            </w:pPr>
            <w:r w:rsidRPr="005D7103">
              <w:rPr>
                <w:rFonts w:asciiTheme="majorBidi" w:hAnsiTheme="majorBidi" w:cstheme="majorBidi"/>
              </w:rPr>
              <w:t>2618 to 2739</w:t>
            </w:r>
          </w:p>
          <w:p w:rsidR="002E01B4" w:rsidRPr="005D7103" w:rsidRDefault="002E01B4" w:rsidP="0089403F">
            <w:pPr>
              <w:rPr>
                <w:rFonts w:asciiTheme="majorBidi" w:hAnsiTheme="majorBidi" w:cstheme="majorBidi"/>
              </w:rPr>
            </w:pPr>
            <w:r w:rsidRPr="005D7103">
              <w:rPr>
                <w:rFonts w:asciiTheme="majorBidi" w:hAnsiTheme="majorBidi" w:cstheme="majorBidi"/>
              </w:rPr>
              <w:t>2787 to 2898</w:t>
            </w:r>
          </w:p>
          <w:p w:rsidR="002E01B4" w:rsidRPr="005D7103" w:rsidRDefault="002E01B4" w:rsidP="0089403F">
            <w:pPr>
              <w:rPr>
                <w:rFonts w:asciiTheme="majorBidi" w:hAnsiTheme="majorBidi" w:cstheme="majorBidi"/>
              </w:rPr>
            </w:pPr>
          </w:p>
        </w:tc>
        <w:tc>
          <w:tcPr>
            <w:tcW w:w="1265" w:type="dxa"/>
          </w:tcPr>
          <w:p w:rsidR="002E01B4" w:rsidRPr="005D7103" w:rsidRDefault="002E01B4" w:rsidP="0089403F">
            <w:pPr>
              <w:rPr>
                <w:rFonts w:asciiTheme="majorBidi" w:hAnsiTheme="majorBidi" w:cstheme="majorBidi"/>
              </w:rPr>
            </w:pPr>
            <w:r w:rsidRPr="005D7103">
              <w:rPr>
                <w:rFonts w:asciiTheme="majorBidi" w:hAnsiTheme="majorBidi" w:cstheme="majorBidi"/>
              </w:rPr>
              <w:t>Entire territory</w:t>
            </w:r>
          </w:p>
        </w:tc>
        <w:tc>
          <w:tcPr>
            <w:tcW w:w="1435" w:type="dxa"/>
          </w:tcPr>
          <w:p w:rsidR="002E01B4" w:rsidRPr="005D7103" w:rsidRDefault="002E01B4" w:rsidP="005D7103">
            <w:pPr>
              <w:rPr>
                <w:rFonts w:asciiTheme="majorBidi" w:hAnsiTheme="majorBidi" w:cstheme="majorBidi"/>
              </w:rPr>
            </w:pPr>
            <w:r w:rsidRPr="005D7103">
              <w:rPr>
                <w:rFonts w:asciiTheme="majorBidi" w:hAnsiTheme="majorBidi" w:cstheme="majorBidi"/>
              </w:rPr>
              <w:t>4124 to 4125</w:t>
            </w:r>
          </w:p>
          <w:p w:rsidR="002E01B4" w:rsidRPr="005D7103" w:rsidRDefault="002E01B4" w:rsidP="005D7103">
            <w:pPr>
              <w:rPr>
                <w:rFonts w:asciiTheme="majorBidi" w:hAnsiTheme="majorBidi" w:cstheme="majorBidi"/>
              </w:rPr>
            </w:pPr>
            <w:r w:rsidRPr="005D7103">
              <w:rPr>
                <w:rFonts w:asciiTheme="majorBidi" w:hAnsiTheme="majorBidi" w:cstheme="majorBidi"/>
              </w:rPr>
              <w:t>4133</w:t>
            </w:r>
          </w:p>
          <w:p w:rsidR="002E01B4" w:rsidRPr="005D7103" w:rsidRDefault="002E01B4" w:rsidP="005D7103">
            <w:pPr>
              <w:rPr>
                <w:rFonts w:asciiTheme="majorBidi" w:hAnsiTheme="majorBidi" w:cstheme="majorBidi"/>
              </w:rPr>
            </w:pPr>
            <w:r w:rsidRPr="005D7103">
              <w:rPr>
                <w:rFonts w:asciiTheme="majorBidi" w:hAnsiTheme="majorBidi" w:cstheme="majorBidi"/>
              </w:rPr>
              <w:t>4211</w:t>
            </w:r>
          </w:p>
          <w:p w:rsidR="002E01B4" w:rsidRPr="005D7103" w:rsidRDefault="002E01B4" w:rsidP="005D7103">
            <w:pPr>
              <w:rPr>
                <w:rFonts w:asciiTheme="majorBidi" w:hAnsiTheme="majorBidi" w:cstheme="majorBidi"/>
              </w:rPr>
            </w:pPr>
            <w:r w:rsidRPr="005D7103">
              <w:rPr>
                <w:rFonts w:asciiTheme="majorBidi" w:hAnsiTheme="majorBidi" w:cstheme="majorBidi"/>
              </w:rPr>
              <w:t>4270 to 4272</w:t>
            </w:r>
          </w:p>
          <w:p w:rsidR="002E01B4" w:rsidRPr="005D7103" w:rsidRDefault="002E01B4" w:rsidP="005D7103">
            <w:pPr>
              <w:rPr>
                <w:rFonts w:asciiTheme="majorBidi" w:hAnsiTheme="majorBidi" w:cstheme="majorBidi"/>
              </w:rPr>
            </w:pPr>
            <w:r w:rsidRPr="005D7103">
              <w:rPr>
                <w:rFonts w:asciiTheme="majorBidi" w:hAnsiTheme="majorBidi" w:cstheme="majorBidi"/>
              </w:rPr>
              <w:t>4275</w:t>
            </w:r>
          </w:p>
          <w:p w:rsidR="002E01B4" w:rsidRPr="005D7103" w:rsidRDefault="002E01B4" w:rsidP="005D7103">
            <w:pPr>
              <w:rPr>
                <w:rFonts w:asciiTheme="majorBidi" w:hAnsiTheme="majorBidi" w:cstheme="majorBidi"/>
              </w:rPr>
            </w:pPr>
            <w:r w:rsidRPr="005D7103">
              <w:rPr>
                <w:rFonts w:asciiTheme="majorBidi" w:hAnsiTheme="majorBidi" w:cstheme="majorBidi"/>
              </w:rPr>
              <w:t>4280</w:t>
            </w:r>
          </w:p>
          <w:p w:rsidR="002E01B4" w:rsidRPr="005D7103" w:rsidRDefault="002E01B4" w:rsidP="005D7103">
            <w:pPr>
              <w:rPr>
                <w:rFonts w:asciiTheme="majorBidi" w:hAnsiTheme="majorBidi" w:cstheme="majorBidi"/>
              </w:rPr>
            </w:pPr>
            <w:r w:rsidRPr="005D7103">
              <w:rPr>
                <w:rFonts w:asciiTheme="majorBidi" w:hAnsiTheme="majorBidi" w:cstheme="majorBidi"/>
              </w:rPr>
              <w:t>4285</w:t>
            </w:r>
          </w:p>
          <w:p w:rsidR="002E01B4" w:rsidRPr="005D7103" w:rsidRDefault="002E01B4" w:rsidP="005D7103">
            <w:pPr>
              <w:rPr>
                <w:rFonts w:asciiTheme="majorBidi" w:hAnsiTheme="majorBidi" w:cstheme="majorBidi"/>
              </w:rPr>
            </w:pPr>
            <w:r w:rsidRPr="005D7103">
              <w:rPr>
                <w:rFonts w:asciiTheme="majorBidi" w:hAnsiTheme="majorBidi" w:cstheme="majorBidi"/>
              </w:rPr>
              <w:t>4287</w:t>
            </w:r>
          </w:p>
          <w:p w:rsidR="002E01B4" w:rsidRPr="005D7103" w:rsidRDefault="002E01B4" w:rsidP="005D7103">
            <w:pPr>
              <w:rPr>
                <w:rFonts w:asciiTheme="majorBidi" w:hAnsiTheme="majorBidi" w:cstheme="majorBidi"/>
              </w:rPr>
            </w:pPr>
            <w:r w:rsidRPr="005D7103">
              <w:rPr>
                <w:rFonts w:asciiTheme="majorBidi" w:hAnsiTheme="majorBidi" w:cstheme="majorBidi"/>
              </w:rPr>
              <w:t>4307 to 4499</w:t>
            </w:r>
          </w:p>
          <w:p w:rsidR="002E01B4" w:rsidRPr="005D7103" w:rsidRDefault="002E01B4" w:rsidP="005D7103">
            <w:pPr>
              <w:rPr>
                <w:rFonts w:asciiTheme="majorBidi" w:hAnsiTheme="majorBidi" w:cstheme="majorBidi"/>
              </w:rPr>
            </w:pPr>
            <w:r w:rsidRPr="005D7103">
              <w:rPr>
                <w:rFonts w:asciiTheme="majorBidi" w:hAnsiTheme="majorBidi" w:cstheme="majorBidi"/>
              </w:rPr>
              <w:t>4510</w:t>
            </w:r>
          </w:p>
          <w:p w:rsidR="002E01B4" w:rsidRPr="005D7103" w:rsidRDefault="002E01B4" w:rsidP="005D7103">
            <w:pPr>
              <w:rPr>
                <w:rFonts w:asciiTheme="majorBidi" w:hAnsiTheme="majorBidi" w:cstheme="majorBidi"/>
              </w:rPr>
            </w:pPr>
            <w:r w:rsidRPr="005D7103">
              <w:rPr>
                <w:rFonts w:asciiTheme="majorBidi" w:hAnsiTheme="majorBidi" w:cstheme="majorBidi"/>
              </w:rPr>
              <w:t>4512</w:t>
            </w:r>
          </w:p>
          <w:p w:rsidR="002E01B4" w:rsidRPr="005D7103" w:rsidRDefault="002E01B4" w:rsidP="005D7103">
            <w:pPr>
              <w:rPr>
                <w:rFonts w:asciiTheme="majorBidi" w:hAnsiTheme="majorBidi" w:cstheme="majorBidi"/>
              </w:rPr>
            </w:pPr>
            <w:r w:rsidRPr="005D7103">
              <w:rPr>
                <w:rFonts w:asciiTheme="majorBidi" w:hAnsiTheme="majorBidi" w:cstheme="majorBidi"/>
              </w:rPr>
              <w:t>4515</w:t>
            </w:r>
          </w:p>
          <w:p w:rsidR="002E01B4" w:rsidRPr="005D7103" w:rsidRDefault="002E01B4" w:rsidP="005D7103">
            <w:pPr>
              <w:rPr>
                <w:rFonts w:asciiTheme="majorBidi" w:hAnsiTheme="majorBidi" w:cstheme="majorBidi"/>
              </w:rPr>
            </w:pPr>
            <w:r w:rsidRPr="005D7103">
              <w:rPr>
                <w:rFonts w:asciiTheme="majorBidi" w:hAnsiTheme="majorBidi" w:cstheme="majorBidi"/>
              </w:rPr>
              <w:t>4516</w:t>
            </w:r>
          </w:p>
          <w:p w:rsidR="002E01B4" w:rsidRPr="005D7103" w:rsidRDefault="002E01B4" w:rsidP="005D7103">
            <w:pPr>
              <w:rPr>
                <w:rFonts w:asciiTheme="majorBidi" w:hAnsiTheme="majorBidi" w:cstheme="majorBidi"/>
              </w:rPr>
            </w:pPr>
            <w:r w:rsidRPr="005D7103">
              <w:rPr>
                <w:rFonts w:asciiTheme="majorBidi" w:hAnsiTheme="majorBidi" w:cstheme="majorBidi"/>
              </w:rPr>
              <w:t>4517 to 4519</w:t>
            </w:r>
          </w:p>
          <w:p w:rsidR="002E01B4" w:rsidRPr="005D7103" w:rsidRDefault="002E01B4" w:rsidP="005D7103">
            <w:pPr>
              <w:rPr>
                <w:rFonts w:asciiTheme="majorBidi" w:hAnsiTheme="majorBidi" w:cstheme="majorBidi"/>
              </w:rPr>
            </w:pPr>
            <w:r w:rsidRPr="005D7103">
              <w:rPr>
                <w:rFonts w:asciiTheme="majorBidi" w:hAnsiTheme="majorBidi" w:cstheme="majorBidi"/>
              </w:rPr>
              <w:t>4522 to 4899</w:t>
            </w:r>
          </w:p>
          <w:p w:rsidR="002E01B4" w:rsidRPr="005D7103" w:rsidRDefault="002E01B4" w:rsidP="002E01B4">
            <w:pPr>
              <w:rPr>
                <w:rFonts w:asciiTheme="majorBidi" w:hAnsiTheme="majorBidi" w:cstheme="majorBidi"/>
              </w:rPr>
            </w:pPr>
          </w:p>
        </w:tc>
        <w:tc>
          <w:tcPr>
            <w:tcW w:w="1440" w:type="dxa"/>
          </w:tcPr>
          <w:p w:rsidR="002E01B4" w:rsidRPr="005D7103" w:rsidRDefault="002E01B4" w:rsidP="005D7103">
            <w:pPr>
              <w:rPr>
                <w:rFonts w:asciiTheme="majorBidi" w:hAnsiTheme="majorBidi" w:cstheme="majorBidi"/>
              </w:rPr>
            </w:pPr>
            <w:r w:rsidRPr="005D7103">
              <w:rPr>
                <w:rFonts w:asciiTheme="majorBidi" w:hAnsiTheme="majorBidi" w:cstheme="majorBidi"/>
              </w:rPr>
              <w:t>3139</w:t>
            </w:r>
          </w:p>
          <w:p w:rsidR="002E01B4" w:rsidRPr="005D7103" w:rsidRDefault="002E01B4" w:rsidP="005D7103">
            <w:pPr>
              <w:rPr>
                <w:rFonts w:asciiTheme="majorBidi" w:hAnsiTheme="majorBidi" w:cstheme="majorBidi"/>
              </w:rPr>
            </w:pPr>
            <w:r w:rsidRPr="005D7103">
              <w:rPr>
                <w:rFonts w:asciiTheme="majorBidi" w:hAnsiTheme="majorBidi" w:cstheme="majorBidi"/>
              </w:rPr>
              <w:t>3211 to 3334</w:t>
            </w:r>
          </w:p>
          <w:p w:rsidR="002E01B4" w:rsidRPr="005D7103" w:rsidRDefault="002E01B4" w:rsidP="005D7103">
            <w:pPr>
              <w:rPr>
                <w:rFonts w:asciiTheme="majorBidi" w:hAnsiTheme="majorBidi" w:cstheme="majorBidi"/>
              </w:rPr>
            </w:pPr>
            <w:r w:rsidRPr="005D7103">
              <w:rPr>
                <w:rFonts w:asciiTheme="majorBidi" w:hAnsiTheme="majorBidi" w:cstheme="majorBidi"/>
              </w:rPr>
              <w:t>3340 to 3424</w:t>
            </w:r>
          </w:p>
          <w:p w:rsidR="002E01B4" w:rsidRPr="005D7103" w:rsidRDefault="002E01B4" w:rsidP="005D7103">
            <w:pPr>
              <w:rPr>
                <w:rFonts w:asciiTheme="majorBidi" w:hAnsiTheme="majorBidi" w:cstheme="majorBidi"/>
              </w:rPr>
            </w:pPr>
            <w:r w:rsidRPr="005D7103">
              <w:rPr>
                <w:rFonts w:asciiTheme="majorBidi" w:hAnsiTheme="majorBidi" w:cstheme="majorBidi"/>
              </w:rPr>
              <w:t>3430 to 3649</w:t>
            </w:r>
          </w:p>
          <w:p w:rsidR="002E01B4" w:rsidRPr="005D7103" w:rsidRDefault="002E01B4" w:rsidP="005D7103">
            <w:pPr>
              <w:rPr>
                <w:rFonts w:asciiTheme="majorBidi" w:hAnsiTheme="majorBidi" w:cstheme="majorBidi"/>
              </w:rPr>
            </w:pPr>
            <w:r w:rsidRPr="005D7103">
              <w:rPr>
                <w:rFonts w:asciiTheme="majorBidi" w:hAnsiTheme="majorBidi" w:cstheme="majorBidi"/>
              </w:rPr>
              <w:t>3658 to 3749</w:t>
            </w:r>
          </w:p>
          <w:p w:rsidR="002E01B4" w:rsidRPr="005D7103" w:rsidRDefault="002E01B4" w:rsidP="005D7103">
            <w:pPr>
              <w:rPr>
                <w:rFonts w:asciiTheme="majorBidi" w:hAnsiTheme="majorBidi" w:cstheme="majorBidi"/>
              </w:rPr>
            </w:pPr>
            <w:r w:rsidRPr="005D7103">
              <w:rPr>
                <w:rFonts w:asciiTheme="majorBidi" w:hAnsiTheme="majorBidi" w:cstheme="majorBidi"/>
              </w:rPr>
              <w:t>3753, 3756, 3758, 3762, 3764</w:t>
            </w:r>
          </w:p>
          <w:p w:rsidR="002E01B4" w:rsidRPr="005D7103" w:rsidRDefault="002E01B4" w:rsidP="005D7103">
            <w:pPr>
              <w:rPr>
                <w:rFonts w:asciiTheme="majorBidi" w:hAnsiTheme="majorBidi" w:cstheme="majorBidi"/>
              </w:rPr>
            </w:pPr>
            <w:r w:rsidRPr="005D7103">
              <w:rPr>
                <w:rFonts w:asciiTheme="majorBidi" w:hAnsiTheme="majorBidi" w:cstheme="majorBidi"/>
              </w:rPr>
              <w:t>3778 to 3781</w:t>
            </w:r>
          </w:p>
          <w:p w:rsidR="002E01B4" w:rsidRPr="005D7103" w:rsidRDefault="002E01B4" w:rsidP="005D7103">
            <w:pPr>
              <w:rPr>
                <w:rFonts w:asciiTheme="majorBidi" w:hAnsiTheme="majorBidi" w:cstheme="majorBidi"/>
              </w:rPr>
            </w:pPr>
            <w:r w:rsidRPr="005D7103">
              <w:rPr>
                <w:rFonts w:asciiTheme="majorBidi" w:hAnsiTheme="majorBidi" w:cstheme="majorBidi"/>
              </w:rPr>
              <w:t>3783, 3797, 3799</w:t>
            </w:r>
          </w:p>
          <w:p w:rsidR="002E01B4" w:rsidRPr="005D7103" w:rsidRDefault="002E01B4" w:rsidP="005D7103">
            <w:pPr>
              <w:rPr>
                <w:rFonts w:asciiTheme="majorBidi" w:hAnsiTheme="majorBidi" w:cstheme="majorBidi"/>
              </w:rPr>
            </w:pPr>
            <w:r w:rsidRPr="005D7103">
              <w:rPr>
                <w:rFonts w:asciiTheme="majorBidi" w:hAnsiTheme="majorBidi" w:cstheme="majorBidi"/>
              </w:rPr>
              <w:t>3810 to 3909</w:t>
            </w:r>
          </w:p>
          <w:p w:rsidR="002E01B4" w:rsidRPr="005D7103" w:rsidRDefault="002E01B4" w:rsidP="005D7103">
            <w:pPr>
              <w:rPr>
                <w:rFonts w:asciiTheme="majorBidi" w:hAnsiTheme="majorBidi" w:cstheme="majorBidi"/>
              </w:rPr>
            </w:pPr>
            <w:r w:rsidRPr="005D7103">
              <w:rPr>
                <w:rFonts w:asciiTheme="majorBidi" w:hAnsiTheme="majorBidi" w:cstheme="majorBidi"/>
              </w:rPr>
              <w:t>3921 to 3925</w:t>
            </w:r>
          </w:p>
          <w:p w:rsidR="002E01B4" w:rsidRPr="005D7103" w:rsidRDefault="002E01B4" w:rsidP="005D7103">
            <w:pPr>
              <w:rPr>
                <w:rFonts w:asciiTheme="majorBidi" w:hAnsiTheme="majorBidi" w:cstheme="majorBidi"/>
              </w:rPr>
            </w:pPr>
            <w:r w:rsidRPr="005D7103">
              <w:rPr>
                <w:rFonts w:asciiTheme="majorBidi" w:hAnsiTheme="majorBidi" w:cstheme="majorBidi"/>
              </w:rPr>
              <w:t>3945 to 3974</w:t>
            </w:r>
          </w:p>
          <w:p w:rsidR="002E01B4" w:rsidRPr="005D7103" w:rsidRDefault="002E01B4" w:rsidP="005D7103">
            <w:pPr>
              <w:rPr>
                <w:rFonts w:asciiTheme="majorBidi" w:hAnsiTheme="majorBidi" w:cstheme="majorBidi"/>
              </w:rPr>
            </w:pPr>
            <w:r w:rsidRPr="005D7103">
              <w:rPr>
                <w:rFonts w:asciiTheme="majorBidi" w:hAnsiTheme="majorBidi" w:cstheme="majorBidi"/>
              </w:rPr>
              <w:t>3979</w:t>
            </w:r>
          </w:p>
          <w:p w:rsidR="002E01B4" w:rsidRPr="005D7103" w:rsidRDefault="002E01B4" w:rsidP="005D7103">
            <w:pPr>
              <w:rPr>
                <w:rFonts w:asciiTheme="majorBidi" w:hAnsiTheme="majorBidi" w:cstheme="majorBidi"/>
                <w:color w:val="000000"/>
              </w:rPr>
            </w:pPr>
            <w:r w:rsidRPr="005D7103">
              <w:rPr>
                <w:rFonts w:asciiTheme="majorBidi" w:hAnsiTheme="majorBidi" w:cstheme="majorBidi"/>
              </w:rPr>
              <w:t>3981 to 3996</w:t>
            </w:r>
          </w:p>
          <w:p w:rsidR="002E01B4" w:rsidRPr="005D7103" w:rsidRDefault="002E01B4" w:rsidP="002E01B4">
            <w:pPr>
              <w:rPr>
                <w:rFonts w:asciiTheme="majorBidi" w:hAnsiTheme="majorBidi" w:cstheme="majorBidi"/>
              </w:rPr>
            </w:pPr>
          </w:p>
        </w:tc>
        <w:tc>
          <w:tcPr>
            <w:tcW w:w="1350" w:type="dxa"/>
          </w:tcPr>
          <w:p w:rsidR="002E01B4" w:rsidRPr="005D7103" w:rsidRDefault="0089403F" w:rsidP="0089403F">
            <w:pPr>
              <w:rPr>
                <w:rFonts w:asciiTheme="majorBidi" w:hAnsiTheme="majorBidi" w:cstheme="majorBidi"/>
              </w:rPr>
            </w:pPr>
            <w:r w:rsidRPr="005D7103">
              <w:rPr>
                <w:rFonts w:asciiTheme="majorBidi" w:hAnsiTheme="majorBidi" w:cstheme="majorBidi"/>
              </w:rPr>
              <w:t>Entire State</w:t>
            </w:r>
          </w:p>
        </w:tc>
        <w:tc>
          <w:tcPr>
            <w:tcW w:w="1350" w:type="dxa"/>
          </w:tcPr>
          <w:p w:rsidR="002E01B4" w:rsidRPr="005D7103" w:rsidRDefault="0089403F" w:rsidP="005D7103">
            <w:pPr>
              <w:rPr>
                <w:rFonts w:asciiTheme="majorBidi" w:hAnsiTheme="majorBidi" w:cstheme="majorBidi"/>
              </w:rPr>
            </w:pPr>
            <w:r w:rsidRPr="005D7103">
              <w:rPr>
                <w:rFonts w:asciiTheme="majorBidi" w:hAnsiTheme="majorBidi" w:cstheme="majorBidi"/>
              </w:rPr>
              <w:t>Entire State</w:t>
            </w:r>
          </w:p>
        </w:tc>
        <w:tc>
          <w:tcPr>
            <w:tcW w:w="1260" w:type="dxa"/>
          </w:tcPr>
          <w:p w:rsidR="0089403F" w:rsidRPr="005D7103" w:rsidRDefault="0089403F" w:rsidP="005D7103">
            <w:pPr>
              <w:rPr>
                <w:rFonts w:asciiTheme="majorBidi" w:hAnsiTheme="majorBidi" w:cstheme="majorBidi"/>
              </w:rPr>
            </w:pPr>
            <w:r w:rsidRPr="005D7103">
              <w:rPr>
                <w:rFonts w:asciiTheme="majorBidi" w:hAnsiTheme="majorBidi" w:cstheme="majorBidi"/>
              </w:rPr>
              <w:t>6041 to 6044</w:t>
            </w:r>
          </w:p>
          <w:p w:rsidR="0089403F" w:rsidRPr="005D7103" w:rsidRDefault="0089403F" w:rsidP="005D7103">
            <w:pPr>
              <w:rPr>
                <w:rFonts w:asciiTheme="majorBidi" w:hAnsiTheme="majorBidi" w:cstheme="majorBidi"/>
              </w:rPr>
            </w:pPr>
            <w:r w:rsidRPr="005D7103">
              <w:rPr>
                <w:rFonts w:asciiTheme="majorBidi" w:hAnsiTheme="majorBidi" w:cstheme="majorBidi"/>
              </w:rPr>
              <w:t>6083 to 6084</w:t>
            </w:r>
          </w:p>
          <w:p w:rsidR="0089403F" w:rsidRPr="005D7103" w:rsidRDefault="0089403F" w:rsidP="005D7103">
            <w:pPr>
              <w:rPr>
                <w:rFonts w:asciiTheme="majorBidi" w:hAnsiTheme="majorBidi" w:cstheme="majorBidi"/>
              </w:rPr>
            </w:pPr>
            <w:r w:rsidRPr="005D7103">
              <w:rPr>
                <w:rFonts w:asciiTheme="majorBidi" w:hAnsiTheme="majorBidi" w:cstheme="majorBidi"/>
              </w:rPr>
              <w:t>6121 to 6126</w:t>
            </w:r>
          </w:p>
          <w:p w:rsidR="0089403F" w:rsidRPr="005D7103" w:rsidRDefault="0089403F" w:rsidP="005D7103">
            <w:pPr>
              <w:rPr>
                <w:rFonts w:asciiTheme="majorBidi" w:hAnsiTheme="majorBidi" w:cstheme="majorBidi"/>
              </w:rPr>
            </w:pPr>
            <w:r w:rsidRPr="005D7103">
              <w:rPr>
                <w:rFonts w:asciiTheme="majorBidi" w:hAnsiTheme="majorBidi" w:cstheme="majorBidi"/>
              </w:rPr>
              <w:t>6200 to 6799</w:t>
            </w:r>
          </w:p>
          <w:p w:rsidR="002E01B4" w:rsidRPr="005D7103" w:rsidRDefault="002E01B4" w:rsidP="002E01B4">
            <w:pPr>
              <w:rPr>
                <w:rFonts w:asciiTheme="majorBidi" w:hAnsiTheme="majorBidi" w:cstheme="majorBidi"/>
              </w:rPr>
            </w:pPr>
          </w:p>
        </w:tc>
      </w:tr>
    </w:tbl>
    <w:p w:rsidR="002E01B4" w:rsidRPr="002E01B4" w:rsidRDefault="002E01B4" w:rsidP="002E01B4">
      <w:pPr>
        <w:rPr>
          <w:rFonts w:asciiTheme="majorBidi" w:hAnsiTheme="majorBidi" w:cstheme="majorBidi"/>
          <w:sz w:val="24"/>
          <w:szCs w:val="24"/>
        </w:rPr>
      </w:pPr>
    </w:p>
    <w:p w:rsidR="0054530B" w:rsidRDefault="00237D0F" w:rsidP="0054530B">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sidR="00A61D42" w:rsidRPr="00F21249">
        <w:rPr>
          <w:rFonts w:asciiTheme="majorBidi" w:hAnsiTheme="majorBidi" w:cstheme="majorBidi"/>
          <w:sz w:val="24"/>
          <w:szCs w:val="24"/>
        </w:rPr>
        <w:t xml:space="preserve">If you are already in Australia, and wish to remain onshore, you should apply for a second Working Holiday visa </w:t>
      </w:r>
      <w:r w:rsidR="00A61D42" w:rsidRPr="00BE310F">
        <w:rPr>
          <w:rFonts w:asciiTheme="majorBidi" w:hAnsiTheme="majorBidi" w:cstheme="majorBidi"/>
          <w:sz w:val="24"/>
          <w:szCs w:val="24"/>
          <w:u w:val="single"/>
        </w:rPr>
        <w:t>before</w:t>
      </w:r>
      <w:r w:rsidR="00A61D42" w:rsidRPr="00F21249">
        <w:rPr>
          <w:rFonts w:asciiTheme="majorBidi" w:hAnsiTheme="majorBidi" w:cstheme="majorBidi"/>
          <w:sz w:val="24"/>
          <w:szCs w:val="24"/>
        </w:rPr>
        <w:t xml:space="preserve"> your first Working Holiday visa expires.</w:t>
      </w:r>
    </w:p>
    <w:p w:rsidR="0054530B" w:rsidRDefault="0054530B" w:rsidP="00A61D42">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Pr>
          <w:rFonts w:asciiTheme="majorBidi" w:hAnsiTheme="majorBidi" w:cstheme="majorBidi"/>
          <w:sz w:val="24"/>
          <w:szCs w:val="24"/>
        </w:rPr>
        <w:t>be between the ages of 18 and 30;</w:t>
      </w:r>
    </w:p>
    <w:p w:rsidR="0054530B" w:rsidRDefault="0054530B" w:rsidP="00A61D42">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sidRPr="0054530B">
        <w:rPr>
          <w:rFonts w:asciiTheme="majorBidi" w:hAnsiTheme="majorBidi" w:cstheme="majorBidi"/>
          <w:sz w:val="24"/>
          <w:szCs w:val="24"/>
        </w:rPr>
        <w:t>have sufficient funds</w:t>
      </w:r>
      <w:r w:rsidR="00123EAB">
        <w:rPr>
          <w:rFonts w:asciiTheme="majorBidi" w:hAnsiTheme="majorBidi" w:cstheme="majorBidi"/>
          <w:sz w:val="24"/>
          <w:szCs w:val="24"/>
        </w:rPr>
        <w:t xml:space="preserve"> and not accompanied by dependent children;</w:t>
      </w:r>
    </w:p>
    <w:p w:rsidR="00123EAB" w:rsidRDefault="00123EAB" w:rsidP="00123EAB">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Pr>
          <w:rFonts w:asciiTheme="majorBidi" w:hAnsiTheme="majorBidi" w:cstheme="majorBidi"/>
          <w:sz w:val="24"/>
          <w:szCs w:val="24"/>
        </w:rPr>
        <w:t>You must not have any substantial criminal convictions;</w:t>
      </w:r>
    </w:p>
    <w:p w:rsidR="00123EAB" w:rsidRPr="00123EAB" w:rsidRDefault="00123EAB" w:rsidP="00A61D42">
      <w:pPr>
        <w:rPr>
          <w:rFonts w:asciiTheme="majorBidi" w:hAnsiTheme="majorBidi" w:cstheme="majorBidi"/>
          <w:sz w:val="24"/>
          <w:szCs w:val="24"/>
        </w:rPr>
      </w:pPr>
      <w:r w:rsidRPr="00237D0F">
        <w:rPr>
          <w:rFonts w:asciiTheme="majorBidi" w:hAnsiTheme="majorBidi" w:cstheme="majorBidi"/>
          <w:sz w:val="36"/>
          <w:szCs w:val="36"/>
        </w:rPr>
        <w:sym w:font="Wingdings" w:char="F0FC"/>
      </w:r>
      <w:r>
        <w:rPr>
          <w:rFonts w:asciiTheme="majorBidi" w:hAnsiTheme="majorBidi" w:cstheme="majorBidi"/>
          <w:sz w:val="36"/>
          <w:szCs w:val="36"/>
        </w:rPr>
        <w:t xml:space="preserve"> </w:t>
      </w:r>
      <w:r w:rsidRPr="00123EAB">
        <w:rPr>
          <w:rFonts w:asciiTheme="majorBidi" w:hAnsiTheme="majorBidi" w:cstheme="majorBidi"/>
          <w:sz w:val="24"/>
          <w:szCs w:val="24"/>
        </w:rPr>
        <w:t xml:space="preserve">You must not have </w:t>
      </w:r>
      <w:r>
        <w:rPr>
          <w:rFonts w:asciiTheme="majorBidi" w:hAnsiTheme="majorBidi" w:cstheme="majorBidi"/>
          <w:sz w:val="24"/>
          <w:szCs w:val="24"/>
        </w:rPr>
        <w:t>any substantial medical issues.</w:t>
      </w:r>
    </w:p>
    <w:p w:rsidR="00614DE8" w:rsidRPr="00614DE8" w:rsidRDefault="00614DE8" w:rsidP="00BE310F">
      <w:pPr>
        <w:pStyle w:val="contentelement-indenttwo"/>
        <w:spacing w:before="0" w:beforeAutospacing="0" w:after="120" w:afterAutospacing="0" w:line="297" w:lineRule="atLeast"/>
        <w:rPr>
          <w:rFonts w:asciiTheme="majorBidi" w:hAnsiTheme="majorBidi" w:cstheme="majorBidi"/>
          <w:b/>
          <w:bCs/>
          <w:color w:val="000000"/>
        </w:rPr>
      </w:pPr>
    </w:p>
    <w:p w:rsidR="00682E45" w:rsidRDefault="00BE310F" w:rsidP="00A61D42">
      <w:pPr>
        <w:rPr>
          <w:rFonts w:asciiTheme="majorBidi" w:hAnsiTheme="majorBidi" w:cstheme="majorBidi"/>
          <w:b/>
          <w:bCs/>
          <w:sz w:val="24"/>
          <w:szCs w:val="24"/>
        </w:rPr>
      </w:pPr>
      <w:r>
        <w:rPr>
          <w:rFonts w:asciiTheme="majorBidi" w:hAnsiTheme="majorBidi" w:cstheme="majorBidi"/>
          <w:b/>
          <w:bCs/>
          <w:sz w:val="24"/>
          <w:szCs w:val="24"/>
        </w:rPr>
        <w:t xml:space="preserve">Application </w:t>
      </w:r>
    </w:p>
    <w:p w:rsidR="009C4561" w:rsidRDefault="00BE310F" w:rsidP="00BE310F">
      <w:pPr>
        <w:rPr>
          <w:rFonts w:asciiTheme="majorBidi" w:hAnsiTheme="majorBidi" w:cstheme="majorBidi"/>
          <w:sz w:val="24"/>
          <w:szCs w:val="24"/>
        </w:rPr>
      </w:pPr>
      <w:r w:rsidRPr="00BE310F">
        <w:rPr>
          <w:rFonts w:asciiTheme="majorBidi" w:hAnsiTheme="majorBidi" w:cstheme="majorBidi"/>
          <w:sz w:val="24"/>
          <w:szCs w:val="24"/>
        </w:rPr>
        <w:t>If you apply for second working holiday visa in Australia, you must be in Australia when the visa is granted. If you apply outside Australia, you must be outside Australia when the visa is granted.</w:t>
      </w:r>
      <w:r w:rsidR="00614DE8">
        <w:rPr>
          <w:rFonts w:asciiTheme="majorBidi" w:hAnsiTheme="majorBidi" w:cstheme="majorBidi"/>
          <w:sz w:val="24"/>
          <w:szCs w:val="24"/>
        </w:rPr>
        <w:t xml:space="preserve"> Most applications for extensions are lodged via the internet.</w:t>
      </w:r>
    </w:p>
    <w:p w:rsidR="00614DE8" w:rsidRPr="00BE310F" w:rsidRDefault="00614DE8" w:rsidP="00BE310F">
      <w:pPr>
        <w:rPr>
          <w:rFonts w:asciiTheme="majorBidi" w:hAnsiTheme="majorBidi" w:cstheme="majorBidi"/>
          <w:sz w:val="24"/>
          <w:szCs w:val="24"/>
        </w:rPr>
      </w:pPr>
    </w:p>
    <w:sectPr w:rsidR="00614DE8" w:rsidRPr="00B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9FD"/>
    <w:multiLevelType w:val="hybridMultilevel"/>
    <w:tmpl w:val="D18C9044"/>
    <w:lvl w:ilvl="0" w:tplc="D85E43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C767B"/>
    <w:multiLevelType w:val="multilevel"/>
    <w:tmpl w:val="1A6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64A87"/>
    <w:multiLevelType w:val="hybridMultilevel"/>
    <w:tmpl w:val="E98AF63E"/>
    <w:lvl w:ilvl="0" w:tplc="EC4E0A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90F53"/>
    <w:multiLevelType w:val="multilevel"/>
    <w:tmpl w:val="2CB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42"/>
    <w:rsid w:val="00105872"/>
    <w:rsid w:val="00123EAB"/>
    <w:rsid w:val="00237D0F"/>
    <w:rsid w:val="002E01B4"/>
    <w:rsid w:val="00387A58"/>
    <w:rsid w:val="0054530B"/>
    <w:rsid w:val="005D7103"/>
    <w:rsid w:val="00614DE8"/>
    <w:rsid w:val="006506C7"/>
    <w:rsid w:val="00682E45"/>
    <w:rsid w:val="0089403F"/>
    <w:rsid w:val="009C4561"/>
    <w:rsid w:val="00A61D42"/>
    <w:rsid w:val="00BE310F"/>
    <w:rsid w:val="00F21249"/>
    <w:rsid w:val="00F9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7B7E-B3C6-46DC-B63B-1F2D5DC2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614DE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D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1D42"/>
    <w:rPr>
      <w:b/>
      <w:bCs/>
    </w:rPr>
  </w:style>
  <w:style w:type="character" w:customStyle="1" w:styleId="apple-converted-space">
    <w:name w:val="apple-converted-space"/>
    <w:basedOn w:val="DefaultParagraphFont"/>
    <w:rsid w:val="00A61D42"/>
  </w:style>
  <w:style w:type="paragraph" w:styleId="ListParagraph">
    <w:name w:val="List Paragraph"/>
    <w:basedOn w:val="Normal"/>
    <w:uiPriority w:val="34"/>
    <w:qFormat/>
    <w:rsid w:val="00A61D42"/>
    <w:pPr>
      <w:ind w:left="720"/>
      <w:contextualSpacing/>
    </w:pPr>
  </w:style>
  <w:style w:type="character" w:styleId="Hyperlink">
    <w:name w:val="Hyperlink"/>
    <w:basedOn w:val="DefaultParagraphFont"/>
    <w:uiPriority w:val="99"/>
    <w:semiHidden/>
    <w:unhideWhenUsed/>
    <w:rsid w:val="00BE310F"/>
    <w:rPr>
      <w:color w:val="0000FF"/>
      <w:u w:val="single"/>
    </w:rPr>
  </w:style>
  <w:style w:type="paragraph" w:customStyle="1" w:styleId="contentelement-indentone">
    <w:name w:val="contentelement-indentone"/>
    <w:basedOn w:val="Normal"/>
    <w:rsid w:val="00BE3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element-indenttwo">
    <w:name w:val="contentelement-indenttwo"/>
    <w:basedOn w:val="Normal"/>
    <w:rsid w:val="00BE310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E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4DE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871">
      <w:bodyDiv w:val="1"/>
      <w:marLeft w:val="0"/>
      <w:marRight w:val="0"/>
      <w:marTop w:val="0"/>
      <w:marBottom w:val="0"/>
      <w:divBdr>
        <w:top w:val="none" w:sz="0" w:space="0" w:color="auto"/>
        <w:left w:val="none" w:sz="0" w:space="0" w:color="auto"/>
        <w:bottom w:val="none" w:sz="0" w:space="0" w:color="auto"/>
        <w:right w:val="none" w:sz="0" w:space="0" w:color="auto"/>
      </w:divBdr>
      <w:divsChild>
        <w:div w:id="590696568">
          <w:marLeft w:val="0"/>
          <w:marRight w:val="0"/>
          <w:marTop w:val="0"/>
          <w:marBottom w:val="0"/>
          <w:divBdr>
            <w:top w:val="none" w:sz="0" w:space="0" w:color="auto"/>
            <w:left w:val="none" w:sz="0" w:space="0" w:color="auto"/>
            <w:bottom w:val="none" w:sz="0" w:space="0" w:color="auto"/>
            <w:right w:val="none" w:sz="0" w:space="0" w:color="auto"/>
          </w:divBdr>
        </w:div>
        <w:div w:id="910845239">
          <w:marLeft w:val="0"/>
          <w:marRight w:val="0"/>
          <w:marTop w:val="0"/>
          <w:marBottom w:val="0"/>
          <w:divBdr>
            <w:top w:val="none" w:sz="0" w:space="0" w:color="auto"/>
            <w:left w:val="none" w:sz="0" w:space="0" w:color="auto"/>
            <w:bottom w:val="none" w:sz="0" w:space="0" w:color="auto"/>
            <w:right w:val="none" w:sz="0" w:space="0" w:color="auto"/>
          </w:divBdr>
        </w:div>
      </w:divsChild>
    </w:div>
    <w:div w:id="453669444">
      <w:bodyDiv w:val="1"/>
      <w:marLeft w:val="0"/>
      <w:marRight w:val="0"/>
      <w:marTop w:val="0"/>
      <w:marBottom w:val="0"/>
      <w:divBdr>
        <w:top w:val="none" w:sz="0" w:space="0" w:color="auto"/>
        <w:left w:val="none" w:sz="0" w:space="0" w:color="auto"/>
        <w:bottom w:val="none" w:sz="0" w:space="0" w:color="auto"/>
        <w:right w:val="none" w:sz="0" w:space="0" w:color="auto"/>
      </w:divBdr>
    </w:div>
    <w:div w:id="666595869">
      <w:bodyDiv w:val="1"/>
      <w:marLeft w:val="0"/>
      <w:marRight w:val="0"/>
      <w:marTop w:val="0"/>
      <w:marBottom w:val="0"/>
      <w:divBdr>
        <w:top w:val="none" w:sz="0" w:space="0" w:color="auto"/>
        <w:left w:val="none" w:sz="0" w:space="0" w:color="auto"/>
        <w:bottom w:val="none" w:sz="0" w:space="0" w:color="auto"/>
        <w:right w:val="none" w:sz="0" w:space="0" w:color="auto"/>
      </w:divBdr>
    </w:div>
    <w:div w:id="670524723">
      <w:bodyDiv w:val="1"/>
      <w:marLeft w:val="0"/>
      <w:marRight w:val="0"/>
      <w:marTop w:val="0"/>
      <w:marBottom w:val="0"/>
      <w:divBdr>
        <w:top w:val="none" w:sz="0" w:space="0" w:color="auto"/>
        <w:left w:val="none" w:sz="0" w:space="0" w:color="auto"/>
        <w:bottom w:val="none" w:sz="0" w:space="0" w:color="auto"/>
        <w:right w:val="none" w:sz="0" w:space="0" w:color="auto"/>
      </w:divBdr>
    </w:div>
    <w:div w:id="686180779">
      <w:bodyDiv w:val="1"/>
      <w:marLeft w:val="0"/>
      <w:marRight w:val="0"/>
      <w:marTop w:val="0"/>
      <w:marBottom w:val="0"/>
      <w:divBdr>
        <w:top w:val="none" w:sz="0" w:space="0" w:color="auto"/>
        <w:left w:val="none" w:sz="0" w:space="0" w:color="auto"/>
        <w:bottom w:val="none" w:sz="0" w:space="0" w:color="auto"/>
        <w:right w:val="none" w:sz="0" w:space="0" w:color="auto"/>
      </w:divBdr>
    </w:div>
    <w:div w:id="1135173627">
      <w:bodyDiv w:val="1"/>
      <w:marLeft w:val="0"/>
      <w:marRight w:val="0"/>
      <w:marTop w:val="0"/>
      <w:marBottom w:val="0"/>
      <w:divBdr>
        <w:top w:val="none" w:sz="0" w:space="0" w:color="auto"/>
        <w:left w:val="none" w:sz="0" w:space="0" w:color="auto"/>
        <w:bottom w:val="none" w:sz="0" w:space="0" w:color="auto"/>
        <w:right w:val="none" w:sz="0" w:space="0" w:color="auto"/>
      </w:divBdr>
    </w:div>
    <w:div w:id="1265918529">
      <w:bodyDiv w:val="1"/>
      <w:marLeft w:val="0"/>
      <w:marRight w:val="0"/>
      <w:marTop w:val="0"/>
      <w:marBottom w:val="0"/>
      <w:divBdr>
        <w:top w:val="none" w:sz="0" w:space="0" w:color="auto"/>
        <w:left w:val="none" w:sz="0" w:space="0" w:color="auto"/>
        <w:bottom w:val="none" w:sz="0" w:space="0" w:color="auto"/>
        <w:right w:val="none" w:sz="0" w:space="0" w:color="auto"/>
      </w:divBdr>
    </w:div>
    <w:div w:id="1600409461">
      <w:bodyDiv w:val="1"/>
      <w:marLeft w:val="0"/>
      <w:marRight w:val="0"/>
      <w:marTop w:val="0"/>
      <w:marBottom w:val="0"/>
      <w:divBdr>
        <w:top w:val="none" w:sz="0" w:space="0" w:color="auto"/>
        <w:left w:val="none" w:sz="0" w:space="0" w:color="auto"/>
        <w:bottom w:val="none" w:sz="0" w:space="0" w:color="auto"/>
        <w:right w:val="none" w:sz="0" w:space="0" w:color="auto"/>
      </w:divBdr>
      <w:divsChild>
        <w:div w:id="883099463">
          <w:marLeft w:val="0"/>
          <w:marRight w:val="0"/>
          <w:marTop w:val="0"/>
          <w:marBottom w:val="0"/>
          <w:divBdr>
            <w:top w:val="none" w:sz="0" w:space="0" w:color="auto"/>
            <w:left w:val="none" w:sz="0" w:space="0" w:color="auto"/>
            <w:bottom w:val="none" w:sz="0" w:space="0" w:color="auto"/>
            <w:right w:val="none" w:sz="0" w:space="0" w:color="auto"/>
          </w:divBdr>
        </w:div>
        <w:div w:id="704673402">
          <w:marLeft w:val="0"/>
          <w:marRight w:val="0"/>
          <w:marTop w:val="0"/>
          <w:marBottom w:val="0"/>
          <w:divBdr>
            <w:top w:val="none" w:sz="0" w:space="0" w:color="auto"/>
            <w:left w:val="none" w:sz="0" w:space="0" w:color="auto"/>
            <w:bottom w:val="none" w:sz="0" w:space="0" w:color="auto"/>
            <w:right w:val="none" w:sz="0" w:space="0" w:color="auto"/>
          </w:divBdr>
        </w:div>
      </w:divsChild>
    </w:div>
    <w:div w:id="1801995839">
      <w:bodyDiv w:val="1"/>
      <w:marLeft w:val="0"/>
      <w:marRight w:val="0"/>
      <w:marTop w:val="0"/>
      <w:marBottom w:val="0"/>
      <w:divBdr>
        <w:top w:val="none" w:sz="0" w:space="0" w:color="auto"/>
        <w:left w:val="none" w:sz="0" w:space="0" w:color="auto"/>
        <w:bottom w:val="none" w:sz="0" w:space="0" w:color="auto"/>
        <w:right w:val="none" w:sz="0" w:space="0" w:color="auto"/>
      </w:divBdr>
    </w:div>
    <w:div w:id="18934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Browne</dc:creator>
  <cp:keywords/>
  <dc:description/>
  <cp:lastModifiedBy>Jason Browne</cp:lastModifiedBy>
  <cp:revision>3</cp:revision>
  <dcterms:created xsi:type="dcterms:W3CDTF">2015-12-07T06:21:00Z</dcterms:created>
  <dcterms:modified xsi:type="dcterms:W3CDTF">2015-12-09T03:52:00Z</dcterms:modified>
</cp:coreProperties>
</file>